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37633" w14:textId="77777777" w:rsidR="00EA6C6E" w:rsidRDefault="00C6147C" w:rsidP="00C6147C">
      <w:pPr>
        <w:ind w:left="3600"/>
        <w:jc w:val="center"/>
      </w:pPr>
      <w:r w:rsidRPr="00F234D5">
        <w:rPr>
          <w:noProof/>
          <w:lang w:eastAsia="en-GB"/>
        </w:rPr>
        <w:pict w14:anchorId="4C642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4pt;height:44.4pt">
            <v:imagedata r:id="rId4" o:title="png-800"/>
          </v:shape>
        </w:pict>
      </w:r>
    </w:p>
    <w:p w14:paraId="751A5E16" w14:textId="77777777" w:rsidR="00303F7D" w:rsidRDefault="00021E43" w:rsidP="00C6147C">
      <w:pPr>
        <w:spacing w:after="0"/>
        <w:rPr>
          <w:noProof/>
          <w:lang w:eastAsia="en-GB"/>
        </w:rPr>
      </w:pPr>
      <w:r>
        <w:rPr>
          <w:noProof/>
          <w:lang w:eastAsia="en-GB"/>
        </w:rPr>
        <w:pict w14:anchorId="38D3E87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7.4pt;margin-top:.8pt;width:181.75pt;height:109.7pt;z-index:1;mso-wrap-distance-left:2.88pt;mso-wrap-distance-top:2.88pt;mso-wrap-distance-right:2.88pt;mso-wrap-distance-bottom:2.88pt" filled="f" fillcolor="black" stroked="f" strokeweight="0" insetpen="t">
            <v:stroke>
              <o:column v:ext="view" weight="0"/>
            </v:stroke>
            <v:shadow color="#ccc"/>
            <v:textbox style="mso-next-textbox:#_x0000_s1026;mso-column-margin:5.7pt;mso-rotate-with-shape:t;mso-fit-text-to-shape:t" inset="2.85pt,2.85pt,2.85pt,2.85pt">
              <w:txbxContent>
                <w:p w14:paraId="008EFD21" w14:textId="77777777" w:rsidR="00C6147C" w:rsidRDefault="00724521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8 Lings Lane</w:t>
                  </w:r>
                </w:p>
                <w:p w14:paraId="08919AD5" w14:textId="77777777" w:rsidR="00724521" w:rsidRDefault="00724521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Wickersley</w:t>
                  </w:r>
                </w:p>
                <w:p w14:paraId="54ED8790" w14:textId="77777777" w:rsidR="00724521" w:rsidRDefault="00724521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Rotherham.</w:t>
                  </w:r>
                </w:p>
                <w:p w14:paraId="37768EC5" w14:textId="77777777" w:rsidR="00724521" w:rsidRDefault="00724521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S66 1JP</w:t>
                  </w:r>
                </w:p>
                <w:p w14:paraId="5A4FE97E" w14:textId="77777777" w:rsidR="00C6147C" w:rsidRDefault="00C6147C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</w:p>
                <w:p w14:paraId="46BD5D04" w14:textId="77777777" w:rsidR="000D5CCE" w:rsidRPr="000D5CCE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Mob</w:t>
                  </w:r>
                  <w:r w:rsidRPr="000D5CCE">
                    <w:rPr>
                      <w:rFonts w:ascii="Eras Demi ITC" w:hAnsi="Eras Demi ITC" w:cs="Arial"/>
                      <w:sz w:val="20"/>
                      <w:szCs w:val="20"/>
                    </w:rPr>
                    <w:t>: 07986 401764</w:t>
                  </w:r>
                </w:p>
                <w:p w14:paraId="69A63EEA" w14:textId="77777777" w:rsidR="00C6147C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 w:rsidRPr="000D5CCE">
                    <w:rPr>
                      <w:rFonts w:ascii="Eras Demi ITC" w:hAnsi="Eras Demi ITC" w:cs="Arial"/>
                      <w:sz w:val="20"/>
                      <w:szCs w:val="20"/>
                    </w:rPr>
                    <w:t>Email</w:t>
                  </w:r>
                  <w:r w:rsidR="00C6147C"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: rotherhamlmc@hotmail.com  </w:t>
                  </w:r>
                </w:p>
                <w:p w14:paraId="29C87665" w14:textId="77777777" w:rsidR="000D5CCE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 w:rsidRPr="000D5CCE">
                    <w:rPr>
                      <w:rFonts w:ascii="Eras Demi ITC" w:hAnsi="Eras Demi ITC" w:cs="Arial"/>
                      <w:sz w:val="20"/>
                      <w:szCs w:val="20"/>
                    </w:rPr>
                    <w:t>www.rotherhamlmc.org</w:t>
                  </w:r>
                </w:p>
                <w:p w14:paraId="0A72BCF0" w14:textId="77777777" w:rsidR="000D5CCE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Chairman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 Dr A Cole. 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Secretary 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&amp; Treasurer: 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Mr G Pacey. </w:t>
                  </w:r>
                </w:p>
                <w:p w14:paraId="6EC6F829" w14:textId="77777777" w:rsidR="000D5CCE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Vice-Chairman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 Dr C Myers. 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>Medical Secretary</w:t>
                  </w:r>
                  <w:r w:rsidR="00D56261">
                    <w:rPr>
                      <w:rFonts w:ascii="Eras Demi ITC" w:hAnsi="Eras Demi ITC" w:cs="Arial"/>
                      <w:sz w:val="20"/>
                      <w:szCs w:val="20"/>
                    </w:rPr>
                    <w:t>:</w:t>
                  </w:r>
                  <w:r>
                    <w:rPr>
                      <w:rFonts w:ascii="Eras Demi ITC" w:hAnsi="Eras Demi ITC" w:cs="Arial"/>
                      <w:sz w:val="20"/>
                      <w:szCs w:val="20"/>
                    </w:rPr>
                    <w:t xml:space="preserve"> Dr N Thorman.</w:t>
                  </w:r>
                </w:p>
                <w:p w14:paraId="622B26D7" w14:textId="77777777" w:rsidR="000D5CCE" w:rsidRPr="000D5CCE" w:rsidRDefault="000D5CCE" w:rsidP="00C6147C">
                  <w:pPr>
                    <w:widowControl w:val="0"/>
                    <w:spacing w:after="0"/>
                    <w:jc w:val="right"/>
                    <w:rPr>
                      <w:rFonts w:ascii="Eras Demi ITC" w:hAnsi="Eras Demi ITC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C6147C">
        <w:rPr>
          <w:noProof/>
          <w:lang w:eastAsia="en-GB"/>
        </w:rPr>
        <w:t xml:space="preserve"> </w:t>
      </w:r>
    </w:p>
    <w:p w14:paraId="0F9870D9" w14:textId="77777777" w:rsidR="00303F7D" w:rsidRDefault="00303F7D" w:rsidP="00C6147C">
      <w:pPr>
        <w:spacing w:after="0"/>
        <w:rPr>
          <w:noProof/>
          <w:lang w:eastAsia="en-GB"/>
        </w:rPr>
      </w:pPr>
    </w:p>
    <w:p w14:paraId="662DFC3D" w14:textId="77777777" w:rsidR="00C6147C" w:rsidRDefault="00D56261" w:rsidP="00D5626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0D328DF9" w14:textId="77777777" w:rsidR="00C6147C" w:rsidRDefault="00C6147C" w:rsidP="00D56261">
      <w:pPr>
        <w:spacing w:after="0"/>
        <w:rPr>
          <w:rFonts w:ascii="Arial" w:hAnsi="Arial" w:cs="Arial"/>
        </w:rPr>
      </w:pPr>
    </w:p>
    <w:p w14:paraId="677D4CD1" w14:textId="77777777" w:rsidR="00C6147C" w:rsidRDefault="00C6147C" w:rsidP="00D56261">
      <w:pPr>
        <w:spacing w:after="0"/>
        <w:rPr>
          <w:rFonts w:ascii="Arial" w:hAnsi="Arial" w:cs="Arial"/>
        </w:rPr>
      </w:pPr>
    </w:p>
    <w:p w14:paraId="4CF8D314" w14:textId="77777777" w:rsidR="00D56261" w:rsidRDefault="00D56261" w:rsidP="00D56261">
      <w:pPr>
        <w:spacing w:after="0"/>
        <w:rPr>
          <w:rFonts w:ascii="Arial" w:hAnsi="Arial" w:cs="Arial"/>
        </w:rPr>
      </w:pPr>
    </w:p>
    <w:p w14:paraId="00C6885A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B698F41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06EEF3FF" w14:textId="77777777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t>LMCs - About Us</w:t>
      </w:r>
    </w:p>
    <w:p w14:paraId="181343B3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Local Medical Committees (LMCs) have a long history in English law and pre-date the</w:t>
      </w:r>
    </w:p>
    <w:p w14:paraId="3618D723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National Health Service. The legal responsibility of LMCs is to represent and safeguard the</w:t>
      </w:r>
    </w:p>
    <w:p w14:paraId="72021A86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interests of all General Practitioners (GPs) in their area, ensure statutory consultation on</w:t>
      </w:r>
    </w:p>
    <w:p w14:paraId="55C08B74" w14:textId="18D38805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issues affecting general practice and provide advice and advocacy to GPs.</w:t>
      </w:r>
    </w:p>
    <w:p w14:paraId="34E8DF4B" w14:textId="77777777" w:rsidR="00D15F87" w:rsidRDefault="00D15F87" w:rsidP="00D15F87">
      <w:pPr>
        <w:spacing w:after="0"/>
        <w:rPr>
          <w:rFonts w:ascii="Arial" w:hAnsi="Arial" w:cs="Arial"/>
          <w:b/>
          <w:bCs/>
        </w:rPr>
      </w:pPr>
    </w:p>
    <w:p w14:paraId="56B2B5E2" w14:textId="0D5FF28E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t>LMCs are written into the Law</w:t>
      </w:r>
    </w:p>
    <w:p w14:paraId="20F889A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1911 National Insurance Act allowed for the formation of Local Medical Committees,</w:t>
      </w:r>
    </w:p>
    <w:p w14:paraId="79C58A61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giving GPs a statutory voice in representing general practitioners providing services under</w:t>
      </w:r>
    </w:p>
    <w:p w14:paraId="73A0BD85" w14:textId="0A24FF28" w:rsid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first state medical service for insured workers.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The statutory status of LMCs has been reaffirmed in every major piece of NHS legislation.</w:t>
      </w:r>
    </w:p>
    <w:p w14:paraId="3EF206A4" w14:textId="77777777" w:rsidR="00CE0B09" w:rsidRPr="00D15F87" w:rsidRDefault="00CE0B09" w:rsidP="00D15F87">
      <w:pPr>
        <w:spacing w:after="0"/>
        <w:rPr>
          <w:rFonts w:ascii="Arial" w:hAnsi="Arial" w:cs="Arial"/>
        </w:rPr>
      </w:pPr>
    </w:p>
    <w:p w14:paraId="78939DB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When the NHS was created in 1946, LMCs were carried forward as the statutory</w:t>
      </w:r>
    </w:p>
    <w:p w14:paraId="5217306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representative bodies for GPs, with the function to represent GPs in dealings with the new</w:t>
      </w:r>
    </w:p>
    <w:p w14:paraId="6DF27A25" w14:textId="13A8E773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NHS executive structures.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The 1977 NHS Act further consolidated the roles of LMCs, and the 2006 NHS Act (Section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97) provided the modern legal framework, recognising Local Medical Committees as the only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statutory representative bodies for GPs, and setting out their functions and funding. The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2022 Health and Care Act amendments shifted the statutory recognition of LMCs from NHS</w:t>
      </w:r>
      <w:r w:rsidR="00CE0B09">
        <w:rPr>
          <w:rFonts w:ascii="Arial" w:hAnsi="Arial" w:cs="Arial"/>
        </w:rPr>
        <w:t xml:space="preserve"> </w:t>
      </w:r>
      <w:r w:rsidRPr="00D15F87">
        <w:rPr>
          <w:rFonts w:ascii="Arial" w:hAnsi="Arial" w:cs="Arial"/>
        </w:rPr>
        <w:t>England’s national board to local Integrated Care Boards.</w:t>
      </w:r>
    </w:p>
    <w:p w14:paraId="6193018B" w14:textId="77777777" w:rsidR="00CE0B09" w:rsidRDefault="00CE0B09" w:rsidP="00D15F87">
      <w:pPr>
        <w:spacing w:after="0"/>
        <w:rPr>
          <w:rFonts w:ascii="Arial" w:hAnsi="Arial" w:cs="Arial"/>
        </w:rPr>
      </w:pPr>
    </w:p>
    <w:p w14:paraId="0A44E24B" w14:textId="51C3DA1A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t>The 2022 Health and Care Act and LMCs</w:t>
      </w:r>
    </w:p>
    <w:p w14:paraId="0FAA0CA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Prior to 2022, NHS England’s board had the statutory relationship with LMCs. The 2022</w:t>
      </w:r>
    </w:p>
    <w:p w14:paraId="09B4E985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Health and Care Act amendments substituted “the Board” (NHS England) with “an integrated</w:t>
      </w:r>
    </w:p>
    <w:p w14:paraId="7C6F4E48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care board” with the requirement for the statutory relationship to be held locally, at the</w:t>
      </w:r>
    </w:p>
    <w:p w14:paraId="551B1E7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system level, giving LMCs the statutory right to consultation by ICBs on primary care</w:t>
      </w:r>
    </w:p>
    <w:p w14:paraId="0C6D5E7B" w14:textId="77777777" w:rsid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matters.</w:t>
      </w:r>
    </w:p>
    <w:p w14:paraId="59A1E9FF" w14:textId="77777777" w:rsidR="002910C7" w:rsidRPr="00D15F87" w:rsidRDefault="002910C7" w:rsidP="00D15F87">
      <w:pPr>
        <w:spacing w:after="0"/>
        <w:rPr>
          <w:rFonts w:ascii="Arial" w:hAnsi="Arial" w:cs="Arial"/>
        </w:rPr>
      </w:pPr>
    </w:p>
    <w:p w14:paraId="5ACE4995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amendments further modernised the terminology, clarifying the scope of representation</w:t>
      </w:r>
    </w:p>
    <w:p w14:paraId="36E9BC1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of Local Medical Committees to reflect all contract types relating to primary medical services</w:t>
      </w:r>
    </w:p>
    <w:p w14:paraId="3FE255FD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and enabled greater flexibility on geography of representation.</w:t>
      </w:r>
    </w:p>
    <w:p w14:paraId="6909A040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funding mechanisms of LMCs through the ICB for expenses and support and through</w:t>
      </w:r>
    </w:p>
    <w:p w14:paraId="3155B32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levy mechanism of whom the committee is representative remain unchanged.</w:t>
      </w:r>
    </w:p>
    <w:p w14:paraId="5D8F5CDB" w14:textId="77777777" w:rsidR="00D15F87" w:rsidRDefault="00D15F87" w:rsidP="00D15F87">
      <w:pPr>
        <w:spacing w:after="0"/>
        <w:rPr>
          <w:rFonts w:ascii="Arial" w:hAnsi="Arial" w:cs="Arial"/>
          <w:b/>
          <w:bCs/>
        </w:rPr>
      </w:pPr>
    </w:p>
    <w:p w14:paraId="53F9BAEB" w14:textId="77777777" w:rsidR="002910C7" w:rsidRDefault="002910C7" w:rsidP="00D15F87">
      <w:pPr>
        <w:spacing w:after="0"/>
        <w:rPr>
          <w:rFonts w:ascii="Arial" w:hAnsi="Arial" w:cs="Arial"/>
          <w:b/>
          <w:bCs/>
        </w:rPr>
      </w:pPr>
    </w:p>
    <w:p w14:paraId="3375C945" w14:textId="77777777" w:rsidR="002910C7" w:rsidRDefault="002910C7" w:rsidP="00D15F87">
      <w:pPr>
        <w:spacing w:after="0"/>
        <w:rPr>
          <w:rFonts w:ascii="Arial" w:hAnsi="Arial" w:cs="Arial"/>
          <w:b/>
          <w:bCs/>
        </w:rPr>
      </w:pPr>
    </w:p>
    <w:p w14:paraId="36D85FC0" w14:textId="77777777" w:rsidR="002910C7" w:rsidRDefault="002910C7" w:rsidP="00D15F87">
      <w:pPr>
        <w:spacing w:after="0"/>
        <w:rPr>
          <w:rFonts w:ascii="Arial" w:hAnsi="Arial" w:cs="Arial"/>
          <w:b/>
          <w:bCs/>
        </w:rPr>
      </w:pPr>
    </w:p>
    <w:p w14:paraId="51D13B58" w14:textId="77777777" w:rsidR="002910C7" w:rsidRDefault="002910C7" w:rsidP="00D15F87">
      <w:pPr>
        <w:spacing w:after="0"/>
        <w:rPr>
          <w:rFonts w:ascii="Arial" w:hAnsi="Arial" w:cs="Arial"/>
          <w:b/>
          <w:bCs/>
        </w:rPr>
      </w:pPr>
    </w:p>
    <w:p w14:paraId="3FC7D62F" w14:textId="64CB1271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lastRenderedPageBreak/>
        <w:t>LMCs, ICBs and Health and Wellbeing Partnerships</w:t>
      </w:r>
    </w:p>
    <w:p w14:paraId="7070A72E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How the legal responsibilities of LMCs translate into practical realities with ICBs and Health</w:t>
      </w:r>
    </w:p>
    <w:p w14:paraId="2CCA954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and Wellbeing Partnerships in England</w:t>
      </w:r>
    </w:p>
    <w:p w14:paraId="0B157727" w14:textId="77777777" w:rsidR="002910C7" w:rsidRDefault="002910C7" w:rsidP="00D15F87">
      <w:pPr>
        <w:spacing w:after="0"/>
        <w:rPr>
          <w:rFonts w:ascii="Arial" w:hAnsi="Arial" w:cs="Arial"/>
        </w:rPr>
      </w:pPr>
    </w:p>
    <w:p w14:paraId="72CECC71" w14:textId="62DE7403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LMC has the statutory right to be consulted on new service specifications affecting</w:t>
      </w:r>
    </w:p>
    <w:p w14:paraId="0285F59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primary care. The LMC ensures the contract is realistic, funded adequately and protects GP</w:t>
      </w:r>
    </w:p>
    <w:p w14:paraId="682BD3C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workload. Without LMC involvement, the ICB could be challenged for failing its statutory duty</w:t>
      </w:r>
    </w:p>
    <w:p w14:paraId="74699540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of consultation.</w:t>
      </w:r>
    </w:p>
    <w:p w14:paraId="4F3BED07" w14:textId="77777777" w:rsidR="00AB7DA0" w:rsidRDefault="00AB7DA0" w:rsidP="00D15F87">
      <w:pPr>
        <w:spacing w:after="0"/>
        <w:rPr>
          <w:rFonts w:ascii="Arial" w:hAnsi="Arial" w:cs="Arial"/>
        </w:rPr>
      </w:pPr>
    </w:p>
    <w:p w14:paraId="118F9C0F" w14:textId="2796620A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Whilst Health and Wellbeing Partnerships set up by local authorities and ICBs are not</w:t>
      </w:r>
    </w:p>
    <w:p w14:paraId="4D629CD4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specifically mentioned in the LMC constitution, any primary care related policy they develop</w:t>
      </w:r>
    </w:p>
    <w:p w14:paraId="5B273F64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must still involve LMC input because it affects GPs.</w:t>
      </w:r>
    </w:p>
    <w:p w14:paraId="47467948" w14:textId="77777777" w:rsidR="00AB7DA0" w:rsidRDefault="00AB7DA0" w:rsidP="00D15F87">
      <w:pPr>
        <w:spacing w:after="0"/>
        <w:rPr>
          <w:rFonts w:ascii="Arial" w:hAnsi="Arial" w:cs="Arial"/>
        </w:rPr>
      </w:pPr>
    </w:p>
    <w:p w14:paraId="0BB7B905" w14:textId="490105C0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If a Health and Wellbeing board or partnership is developing a local strategy on prevention of</w:t>
      </w:r>
    </w:p>
    <w:p w14:paraId="2241B88E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 disease area, the LMC provides the GP perspective on workload, patient pathways and</w:t>
      </w:r>
    </w:p>
    <w:p w14:paraId="4E51DADB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community integration. The LMC’s role is to protect GP interests in the design of system</w:t>
      </w:r>
    </w:p>
    <w:p w14:paraId="3545D109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plans.</w:t>
      </w:r>
    </w:p>
    <w:p w14:paraId="323FF959" w14:textId="77777777" w:rsidR="00D15F87" w:rsidRDefault="00D15F87" w:rsidP="00D15F87">
      <w:pPr>
        <w:spacing w:after="0"/>
        <w:rPr>
          <w:rFonts w:ascii="Arial" w:hAnsi="Arial" w:cs="Arial"/>
          <w:b/>
          <w:bCs/>
        </w:rPr>
      </w:pPr>
    </w:p>
    <w:p w14:paraId="52711911" w14:textId="5FEA154C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t>Representation vs delivery bodies</w:t>
      </w:r>
    </w:p>
    <w:p w14:paraId="57DB7000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LMCs (statutory) represent all GPs, defend contractual or professional interests and ensure</w:t>
      </w:r>
    </w:p>
    <w:p w14:paraId="18648D23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proper consultation.</w:t>
      </w:r>
    </w:p>
    <w:p w14:paraId="64874916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GP Federations (non-statutory) act as provider organisations, bidding for or coordinating</w:t>
      </w:r>
    </w:p>
    <w:p w14:paraId="350BB4D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delivery of services.</w:t>
      </w:r>
    </w:p>
    <w:p w14:paraId="1D26ADB9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Both voices are valid but there may be practical tension - the federation might argue how it</w:t>
      </w:r>
    </w:p>
    <w:p w14:paraId="6FE35C75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will deliver a service and the LMC will argue whether the service is fair, viable and safe for</w:t>
      </w:r>
    </w:p>
    <w:p w14:paraId="005EF4E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GPs to deliver. Both voices are valid but only the LMC has legal standing as the statutory</w:t>
      </w:r>
    </w:p>
    <w:p w14:paraId="55E73530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representative body.</w:t>
      </w:r>
    </w:p>
    <w:p w14:paraId="21F04D6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Even if a federation is at a table as a provider, the LMC must still be consulted to safeguard</w:t>
      </w:r>
    </w:p>
    <w:p w14:paraId="1AD63DEA" w14:textId="38D369C0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profession’s interests</w:t>
      </w:r>
      <w:r w:rsidR="00AB7DA0">
        <w:rPr>
          <w:rFonts w:ascii="Arial" w:hAnsi="Arial" w:cs="Arial"/>
        </w:rPr>
        <w:t>.</w:t>
      </w:r>
      <w:r w:rsidRPr="00D15F87">
        <w:rPr>
          <w:rFonts w:ascii="Arial" w:hAnsi="Arial" w:cs="Arial"/>
        </w:rPr>
        <w:t xml:space="preserve"> The statutory responsibility ensures GP’s collective voice is not</w:t>
      </w:r>
    </w:p>
    <w:p w14:paraId="2811F72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bypassed.</w:t>
      </w:r>
    </w:p>
    <w:p w14:paraId="4CC09AEA" w14:textId="77777777" w:rsidR="00D15F87" w:rsidRDefault="00D15F87" w:rsidP="00D15F87">
      <w:pPr>
        <w:spacing w:after="0"/>
        <w:rPr>
          <w:rFonts w:ascii="Arial" w:hAnsi="Arial" w:cs="Arial"/>
          <w:b/>
          <w:bCs/>
        </w:rPr>
      </w:pPr>
    </w:p>
    <w:p w14:paraId="54434F09" w14:textId="5B4DA505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t>Summary following the 2022 Health and Care Act amendments</w:t>
      </w:r>
    </w:p>
    <w:p w14:paraId="353BEB21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1. From national to local accountability - before 2022 NHS England had the statutory</w:t>
      </w:r>
    </w:p>
    <w:p w14:paraId="56B8292E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relationship with LMCs. Now ICBs are the legal point of recognition and consultation.</w:t>
      </w:r>
    </w:p>
    <w:p w14:paraId="72109B88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This strengthens the LMC’s local statutory authority, as engagement must happen</w:t>
      </w:r>
    </w:p>
    <w:p w14:paraId="022B97BD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locally, at the system level.</w:t>
      </w:r>
    </w:p>
    <w:p w14:paraId="5D68CD5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2. Stronger local voice - LMCs have a clear statutory right to consultation by ICBs and</w:t>
      </w:r>
    </w:p>
    <w:p w14:paraId="189AEF89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Health and Wellbeing Partnerships on primary care matters. This gives LMCs </w:t>
      </w:r>
      <w:proofErr w:type="gramStart"/>
      <w:r w:rsidRPr="00D15F87">
        <w:rPr>
          <w:rFonts w:ascii="Arial" w:hAnsi="Arial" w:cs="Arial"/>
        </w:rPr>
        <w:t>a legal</w:t>
      </w:r>
      <w:proofErr w:type="gramEnd"/>
    </w:p>
    <w:p w14:paraId="0AE40C3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position in system governance discussions</w:t>
      </w:r>
    </w:p>
    <w:p w14:paraId="69B5BC0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3. The amendments clarified representations and geographies for when LMC and ICB</w:t>
      </w:r>
    </w:p>
    <w:p w14:paraId="7BFC144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geographies don’t fully align - LMCs can represent part or </w:t>
      </w:r>
      <w:proofErr w:type="gramStart"/>
      <w:r w:rsidRPr="00D15F87">
        <w:rPr>
          <w:rFonts w:ascii="Arial" w:hAnsi="Arial" w:cs="Arial"/>
        </w:rPr>
        <w:t>all of</w:t>
      </w:r>
      <w:proofErr w:type="gramEnd"/>
      <w:r w:rsidRPr="00D15F87">
        <w:rPr>
          <w:rFonts w:ascii="Arial" w:hAnsi="Arial" w:cs="Arial"/>
        </w:rPr>
        <w:t xml:space="preserve"> an ICB area.</w:t>
      </w:r>
    </w:p>
    <w:p w14:paraId="10A3455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4. LMCs provide statutory representation and protects GP interests. GP federations are</w:t>
      </w:r>
    </w:p>
    <w:p w14:paraId="62A8923E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non-statutory and act as provider organisations. Both may sit at ICB tables, but only</w:t>
      </w:r>
    </w:p>
    <w:p w14:paraId="77FF3AB9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the LMC has statutory consultation rights.</w:t>
      </w:r>
    </w:p>
    <w:p w14:paraId="7467350D" w14:textId="77777777" w:rsidR="00D15F87" w:rsidRDefault="00D15F87" w:rsidP="00D15F87">
      <w:pPr>
        <w:spacing w:after="0"/>
        <w:rPr>
          <w:rFonts w:ascii="Arial" w:hAnsi="Arial" w:cs="Arial"/>
          <w:b/>
          <w:bCs/>
        </w:rPr>
      </w:pPr>
    </w:p>
    <w:p w14:paraId="2F6771A7" w14:textId="77777777" w:rsidR="00AB7DA0" w:rsidRDefault="00AB7DA0" w:rsidP="00D15F87">
      <w:pPr>
        <w:spacing w:after="0"/>
        <w:rPr>
          <w:rFonts w:ascii="Arial" w:hAnsi="Arial" w:cs="Arial"/>
          <w:b/>
          <w:bCs/>
        </w:rPr>
      </w:pPr>
    </w:p>
    <w:p w14:paraId="7855191C" w14:textId="77777777" w:rsidR="00AB7DA0" w:rsidRDefault="00AB7DA0" w:rsidP="00D15F87">
      <w:pPr>
        <w:spacing w:after="0"/>
        <w:rPr>
          <w:rFonts w:ascii="Arial" w:hAnsi="Arial" w:cs="Arial"/>
          <w:b/>
          <w:bCs/>
        </w:rPr>
      </w:pPr>
    </w:p>
    <w:p w14:paraId="70545EEA" w14:textId="77777777" w:rsidR="00AB7DA0" w:rsidRDefault="00AB7DA0" w:rsidP="00D15F87">
      <w:pPr>
        <w:spacing w:after="0"/>
        <w:rPr>
          <w:rFonts w:ascii="Arial" w:hAnsi="Arial" w:cs="Arial"/>
          <w:b/>
          <w:bCs/>
        </w:rPr>
      </w:pPr>
    </w:p>
    <w:p w14:paraId="3CAC193E" w14:textId="77777777" w:rsidR="00AB7DA0" w:rsidRDefault="00AB7DA0" w:rsidP="00D15F87">
      <w:pPr>
        <w:spacing w:after="0"/>
        <w:rPr>
          <w:rFonts w:ascii="Arial" w:hAnsi="Arial" w:cs="Arial"/>
          <w:b/>
          <w:bCs/>
        </w:rPr>
      </w:pPr>
    </w:p>
    <w:p w14:paraId="157CC21F" w14:textId="1403E4A4" w:rsidR="00D15F87" w:rsidRPr="00D15F87" w:rsidRDefault="00D15F87" w:rsidP="00D15F87">
      <w:pPr>
        <w:spacing w:after="0"/>
        <w:rPr>
          <w:rFonts w:ascii="Arial" w:hAnsi="Arial" w:cs="Arial"/>
          <w:b/>
          <w:bCs/>
        </w:rPr>
      </w:pPr>
      <w:r w:rsidRPr="00D15F87">
        <w:rPr>
          <w:rFonts w:ascii="Arial" w:hAnsi="Arial" w:cs="Arial"/>
          <w:b/>
          <w:bCs/>
        </w:rPr>
        <w:lastRenderedPageBreak/>
        <w:t>References</w:t>
      </w:r>
    </w:p>
    <w:p w14:paraId="6E2FDCED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Great Britain. (1911) </w:t>
      </w:r>
      <w:r w:rsidRPr="00D15F87">
        <w:rPr>
          <w:rFonts w:ascii="Arial" w:hAnsi="Arial" w:cs="Arial"/>
          <w:i/>
          <w:iCs/>
        </w:rPr>
        <w:t>National Insurance Act 1911</w:t>
      </w:r>
      <w:r w:rsidRPr="00D15F87">
        <w:rPr>
          <w:rFonts w:ascii="Arial" w:hAnsi="Arial" w:cs="Arial"/>
        </w:rPr>
        <w:t>. 1 &amp; 2 Geo.5 c.55. London: HMSO.</w:t>
      </w:r>
    </w:p>
    <w:p w14:paraId="3D3B5CB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Available at: https://sochealth.co.uk/national-health-service/health-law/nationalinsurance-</w:t>
      </w:r>
    </w:p>
    <w:p w14:paraId="2961CD8D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act-1911/ (Accessed: 23 September 2025).</w:t>
      </w:r>
    </w:p>
    <w:p w14:paraId="28175C9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Great Britain. (1946) </w:t>
      </w:r>
      <w:r w:rsidRPr="00D15F87">
        <w:rPr>
          <w:rFonts w:ascii="Arial" w:hAnsi="Arial" w:cs="Arial"/>
          <w:i/>
          <w:iCs/>
        </w:rPr>
        <w:t>National Health Service Act 1946</w:t>
      </w:r>
      <w:r w:rsidRPr="00D15F87">
        <w:rPr>
          <w:rFonts w:ascii="Arial" w:hAnsi="Arial" w:cs="Arial"/>
        </w:rPr>
        <w:t>. 9 &amp; 10 Geo.6 c.81. London:</w:t>
      </w:r>
    </w:p>
    <w:p w14:paraId="2348A3F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HMSO.</w:t>
      </w:r>
    </w:p>
    <w:p w14:paraId="34C705A9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Great Britain. (1977) </w:t>
      </w:r>
      <w:r w:rsidRPr="00D15F87">
        <w:rPr>
          <w:rFonts w:ascii="Arial" w:hAnsi="Arial" w:cs="Arial"/>
          <w:i/>
          <w:iCs/>
        </w:rPr>
        <w:t>National Health Service Act 1977</w:t>
      </w:r>
      <w:r w:rsidRPr="00D15F87">
        <w:rPr>
          <w:rFonts w:ascii="Arial" w:hAnsi="Arial" w:cs="Arial"/>
        </w:rPr>
        <w:t>. 1977 c.49. London: HMSO.</w:t>
      </w:r>
    </w:p>
    <w:p w14:paraId="5230F072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Great Britain. (2006) </w:t>
      </w:r>
      <w:r w:rsidRPr="00D15F87">
        <w:rPr>
          <w:rFonts w:ascii="Arial" w:hAnsi="Arial" w:cs="Arial"/>
          <w:i/>
          <w:iCs/>
        </w:rPr>
        <w:t>National Health Service Act 2006</w:t>
      </w:r>
      <w:r w:rsidRPr="00D15F87">
        <w:rPr>
          <w:rFonts w:ascii="Arial" w:hAnsi="Arial" w:cs="Arial"/>
        </w:rPr>
        <w:t>, Section 97. London: The</w:t>
      </w:r>
    </w:p>
    <w:p w14:paraId="3A852D44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Stationery Office.</w:t>
      </w:r>
    </w:p>
    <w:p w14:paraId="22265A1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Available at: https://www.legislation.gov.uk/ukpga/2006/41/section/97 (Accessed: 23</w:t>
      </w:r>
    </w:p>
    <w:p w14:paraId="345B6D77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September 2025).</w:t>
      </w:r>
    </w:p>
    <w:p w14:paraId="328335CA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Great Britain. (2022) </w:t>
      </w:r>
      <w:r w:rsidRPr="00D15F87">
        <w:rPr>
          <w:rFonts w:ascii="Arial" w:hAnsi="Arial" w:cs="Arial"/>
          <w:i/>
          <w:iCs/>
        </w:rPr>
        <w:t>Health and Care Act 2022</w:t>
      </w:r>
      <w:r w:rsidRPr="00D15F87">
        <w:rPr>
          <w:rFonts w:ascii="Arial" w:hAnsi="Arial" w:cs="Arial"/>
        </w:rPr>
        <w:t>, Schedule 3. London: The Stationery</w:t>
      </w:r>
    </w:p>
    <w:p w14:paraId="6EB34BC4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Office. Available at: https://www.legislation.gov.uk/ukpga/2022/31/schedule/3</w:t>
      </w:r>
    </w:p>
    <w:p w14:paraId="6F6E7FAF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(Accessed: 23 September 2025).</w:t>
      </w:r>
    </w:p>
    <w:p w14:paraId="7D25428C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 xml:space="preserve">• NHS England. (2021) </w:t>
      </w:r>
      <w:r w:rsidRPr="00D15F87">
        <w:rPr>
          <w:rFonts w:ascii="Arial" w:hAnsi="Arial" w:cs="Arial"/>
          <w:i/>
          <w:iCs/>
        </w:rPr>
        <w:t>Provider collaboratives: guidance</w:t>
      </w:r>
      <w:r w:rsidRPr="00D15F87">
        <w:rPr>
          <w:rFonts w:ascii="Arial" w:hAnsi="Arial" w:cs="Arial"/>
        </w:rPr>
        <w:t>. NHS England. Available at:</w:t>
      </w:r>
    </w:p>
    <w:p w14:paraId="1976FD4E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https://www.england.nhs.uk/wp-content/uploads/2021/06/B0754-working-together-atscale-</w:t>
      </w:r>
    </w:p>
    <w:p w14:paraId="04E06A56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guidance-on-provider-collaboratives.pdf (Accessed: 23 September 2025).</w:t>
      </w:r>
    </w:p>
    <w:p w14:paraId="305C2648" w14:textId="77777777" w:rsidR="00D15F87" w:rsidRPr="00D15F87" w:rsidRDefault="00D15F87" w:rsidP="00D15F87">
      <w:pPr>
        <w:spacing w:after="0"/>
        <w:rPr>
          <w:rFonts w:ascii="Arial" w:hAnsi="Arial" w:cs="Arial"/>
          <w:i/>
          <w:iCs/>
        </w:rPr>
      </w:pPr>
      <w:r w:rsidRPr="00D15F87">
        <w:rPr>
          <w:rFonts w:ascii="Arial" w:hAnsi="Arial" w:cs="Arial"/>
        </w:rPr>
        <w:t xml:space="preserve">• British Medical Association. (n.d.) </w:t>
      </w:r>
      <w:r w:rsidRPr="00D15F87">
        <w:rPr>
          <w:rFonts w:ascii="Arial" w:hAnsi="Arial" w:cs="Arial"/>
          <w:i/>
          <w:iCs/>
        </w:rPr>
        <w:t>Local medical committees (LMCs): the statutory</w:t>
      </w:r>
    </w:p>
    <w:p w14:paraId="5A35651B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  <w:i/>
          <w:iCs/>
        </w:rPr>
        <w:t>body for GPs</w:t>
      </w:r>
      <w:r w:rsidRPr="00D15F87">
        <w:rPr>
          <w:rFonts w:ascii="Arial" w:hAnsi="Arial" w:cs="Arial"/>
        </w:rPr>
        <w:t>. BMA. Available at: https://www.bma.org.uk/advice-and-support/gppractices/</w:t>
      </w:r>
    </w:p>
    <w:p w14:paraId="4D74AB8D" w14:textId="77777777" w:rsidR="00D15F87" w:rsidRPr="00D15F87" w:rsidRDefault="00D15F87" w:rsidP="00D15F87">
      <w:pPr>
        <w:spacing w:after="0"/>
        <w:rPr>
          <w:rFonts w:ascii="Arial" w:hAnsi="Arial" w:cs="Arial"/>
        </w:rPr>
      </w:pPr>
      <w:proofErr w:type="spellStart"/>
      <w:r w:rsidRPr="00D15F87">
        <w:rPr>
          <w:rFonts w:ascii="Arial" w:hAnsi="Arial" w:cs="Arial"/>
        </w:rPr>
        <w:t>gp</w:t>
      </w:r>
      <w:proofErr w:type="spellEnd"/>
      <w:r w:rsidRPr="00D15F87">
        <w:rPr>
          <w:rFonts w:ascii="Arial" w:hAnsi="Arial" w:cs="Arial"/>
        </w:rPr>
        <w:t>-practice-support/local-medical-committees-</w:t>
      </w:r>
      <w:proofErr w:type="spellStart"/>
      <w:r w:rsidRPr="00D15F87">
        <w:rPr>
          <w:rFonts w:ascii="Arial" w:hAnsi="Arial" w:cs="Arial"/>
        </w:rPr>
        <w:t>lmcs</w:t>
      </w:r>
      <w:proofErr w:type="spellEnd"/>
      <w:r w:rsidRPr="00D15F87">
        <w:rPr>
          <w:rFonts w:ascii="Arial" w:hAnsi="Arial" w:cs="Arial"/>
        </w:rPr>
        <w:t xml:space="preserve"> (Accessed: 23</w:t>
      </w:r>
    </w:p>
    <w:p w14:paraId="7BA9910B" w14:textId="0FE62BE6" w:rsidR="000D6117" w:rsidRDefault="00D15F87" w:rsidP="00D15F87">
      <w:pPr>
        <w:spacing w:after="0"/>
        <w:rPr>
          <w:rFonts w:ascii="Arial" w:hAnsi="Arial" w:cs="Arial"/>
        </w:rPr>
      </w:pPr>
      <w:r w:rsidRPr="00D15F87">
        <w:rPr>
          <w:rFonts w:ascii="Arial" w:hAnsi="Arial" w:cs="Arial"/>
        </w:rPr>
        <w:t>September 2025).</w:t>
      </w:r>
    </w:p>
    <w:p w14:paraId="332E55E6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13A2189F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C974ADA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31F64C9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66A59D2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7904AF38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3C2E0B1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2632CF21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0640DCE3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0166B747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C91C4DB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F39E9E3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BCE9716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F86F6DD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07B96E41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FC771A7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15FFCCB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A71CB97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2A9C4383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7D6C265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14EC7350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4E1076A3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8A43C5B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7FAC5389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110D9EDE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529453EF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1F64D4E3" w14:textId="77777777" w:rsidR="000D6117" w:rsidRDefault="000D6117" w:rsidP="00D56261">
      <w:pPr>
        <w:spacing w:after="0"/>
        <w:rPr>
          <w:rFonts w:ascii="Arial" w:hAnsi="Arial" w:cs="Arial"/>
        </w:rPr>
      </w:pPr>
    </w:p>
    <w:p w14:paraId="69430D5A" w14:textId="77777777" w:rsidR="00D56261" w:rsidRPr="000D5CCE" w:rsidRDefault="00D56261" w:rsidP="00D56261">
      <w:pPr>
        <w:spacing w:after="0"/>
        <w:rPr>
          <w:rFonts w:ascii="Arial" w:hAnsi="Arial" w:cs="Arial"/>
        </w:rPr>
      </w:pPr>
    </w:p>
    <w:sectPr w:rsidR="00D56261" w:rsidRPr="000D5CCE" w:rsidSect="00F234D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5CCE"/>
    <w:rsid w:val="00021E43"/>
    <w:rsid w:val="000D5CCE"/>
    <w:rsid w:val="000D6117"/>
    <w:rsid w:val="002910C7"/>
    <w:rsid w:val="00303F7D"/>
    <w:rsid w:val="00643C97"/>
    <w:rsid w:val="007054D9"/>
    <w:rsid w:val="00724521"/>
    <w:rsid w:val="008D393E"/>
    <w:rsid w:val="00AB7DA0"/>
    <w:rsid w:val="00C6147C"/>
    <w:rsid w:val="00CE0B09"/>
    <w:rsid w:val="00D15F87"/>
    <w:rsid w:val="00D56261"/>
    <w:rsid w:val="00EA6C6E"/>
    <w:rsid w:val="00F234D5"/>
    <w:rsid w:val="00FB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D50300"/>
  <w15:chartTrackingRefBased/>
  <w15:docId w15:val="{E9691F17-5C16-4B91-9D6A-2482713C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C6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5C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D5C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</dc:creator>
  <cp:keywords/>
  <cp:lastModifiedBy>Greg Pacey</cp:lastModifiedBy>
  <cp:revision>6</cp:revision>
  <cp:lastPrinted>2011-07-20T15:08:00Z</cp:lastPrinted>
  <dcterms:created xsi:type="dcterms:W3CDTF">2025-10-06T13:06:00Z</dcterms:created>
  <dcterms:modified xsi:type="dcterms:W3CDTF">2025-10-06T13:09:00Z</dcterms:modified>
</cp:coreProperties>
</file>